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1. Ταυτότητα και προέλευση</w:t>
      </w:r>
    </w:p>
    <w:p>
      <w:pPr>
        <w:pStyle w:val="Subtitle"/>
      </w:pPr>
      <w:r>
        <w:t>Identity and provenance</w:t>
      </w:r>
    </w:p>
    <w:p>
      <w:r>
        <w:t>Προσωπική πρωτοβουλία compounding.gr. Συμπληρώστε πριν από επιστημονική έγκριση. / Independent compounding.gr initiative. Complete before scientific approval.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Κωδικός εγγραφής / Record ID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[CGR-…]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Ελληνικός τίτλος / Greek title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Αγγλικός τίτλος / English title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Συνώνυμα, ATC όπου τεκμηριώνεται / Synonyms, supported ATC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Μορφή, οδός, περιεκτικότητα και βάση μονάδων / Form, route, strength and unit basis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Τύπος: τελικό, ενδιάμεσο, γενικό πρότυπο / Type: final, intermediate, general standard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Έκδοση, ημερομηνία ισχύος, επανέλεγχος / Version, effective date, next review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Κατάσταση: προσχέδιο, υπό έλεγχο, εγκεκριμένο, αποσυρμένο / Status: draft, review, approved, withdrawn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Υπεύθυνος πρωτοβουλίας / Initiative owner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[Ονοματεπώνυμο, ιδιότητα / Name, role]</w:t>
            </w:r>
          </w:p>
        </w:tc>
      </w:tr>
    </w:tbl>
    <w:p>
      <w:pPr>
        <w:pStyle w:val="Heading2"/>
      </w:pPr>
      <w:r>
        <w:t>Πρωτογενής πηγή / Primary source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Εκδότης, χώρα, τίτλος, κωδικός, έκδοση, σελίδες / Publisher, country, title, code, edition, pages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URL, ημερομηνία πρόσβασης, SHA-256 / URL, access date, SHA-256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Γενικές απαιτήσεις, διορθώσεις, συμπληρώματα / General requirements, errata, supplements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Ακριβής μεταφορά ή προσαρμογή; αλλαγές / Exact transfer or adaptation? Changes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Άδεια μετάφρασης/αναδημοσίευσης και απόδειξη / Translation/reuse permission and evidence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r>
        <w:br w:type="page"/>
      </w:r>
    </w:p>
    <w:p>
      <w:pPr>
        <w:pStyle w:val="Title"/>
      </w:pPr>
      <w:r>
        <w:t>2. Σύνθεση και υπολογισμοί</w:t>
      </w:r>
    </w:p>
    <w:p>
      <w:pPr>
        <w:pStyle w:val="Subtitle"/>
      </w:pPr>
      <w:r>
        <w:t>Formula and calculations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Μέγεθος αναφοράς / Reference batch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 g / mL / μονάδες / units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Ζητούμενο μέγεθος / Target batch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 g / mL / μονάδες / units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Περιεκτικότητα / Strength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 mg/g • mg/mL • mg/unit • % w/w • % w/v • % v/v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Φαρμακοποιιακή ποιότητα / Compendial quality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2550"/>
        <w:gridCol w:w="2100"/>
        <w:gridCol w:w="1650"/>
        <w:gridCol w:w="1000"/>
        <w:gridCol w:w="2350"/>
      </w:tblGrid>
      <w:tr>
        <w:trPr>
          <w:tblHeader/>
          <w:cantSplit/>
        </w:trPr>
        <w:tc>
          <w:tcPr>
            <w:tcW w:type="dxa" w:w="2550"/>
            <w:shd w:fill="E8EEF5"/>
          </w:tcPr>
          <w:p>
            <w:pPr>
              <w:pStyle w:val="Formtable"/>
            </w:pPr>
            <w:r>
              <w:rPr>
                <w:b/>
              </w:rPr>
              <w:t>Συστατικό / Ingredient</w:t>
            </w:r>
          </w:p>
        </w:tc>
        <w:tc>
          <w:tcPr>
            <w:tcW w:type="dxa" w:w="2100"/>
            <w:shd w:fill="E8EEF5"/>
          </w:tcPr>
          <w:p>
            <w:pPr>
              <w:pStyle w:val="Formtable"/>
            </w:pPr>
            <w:r>
              <w:rPr>
                <w:b/>
              </w:rPr>
              <w:t>Άλας, ένυδρο, grade / Salt, hydrate, grade</w:t>
            </w:r>
          </w:p>
        </w:tc>
        <w:tc>
          <w:tcPr>
            <w:tcW w:type="dxa" w:w="1650"/>
            <w:shd w:fill="E8EEF5"/>
          </w:tcPr>
          <w:p>
            <w:pPr>
              <w:pStyle w:val="Formtable"/>
            </w:pPr>
            <w:r>
              <w:rPr>
                <w:b/>
              </w:rPr>
              <w:t>Αναφορά / Reference qty</w:t>
            </w:r>
          </w:p>
        </w:tc>
        <w:tc>
          <w:tcPr>
            <w:tcW w:type="dxa" w:w="1000"/>
            <w:shd w:fill="E8EEF5"/>
          </w:tcPr>
          <w:p>
            <w:pPr>
              <w:pStyle w:val="Formtable"/>
            </w:pPr>
            <w:r>
              <w:rPr>
                <w:b/>
              </w:rPr>
              <w:t>Μονάδα / Unit</w:t>
            </w:r>
          </w:p>
        </w:tc>
        <w:tc>
          <w:tcPr>
            <w:tcW w:type="dxa" w:w="2350"/>
            <w:shd w:fill="E8EEF5"/>
          </w:tcPr>
          <w:p>
            <w:pPr>
              <w:pStyle w:val="Formtable"/>
            </w:pPr>
            <w:r>
              <w:rPr>
                <w:b/>
              </w:rPr>
              <w:t>Λειτουργία / Function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1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0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50"/>
          </w:tcPr>
          <w:p>
            <w:pPr>
              <w:pStyle w:val="Formtable"/>
            </w:pPr>
            <w:r>
              <w:t>[ ]</w:t>
            </w:r>
          </w:p>
        </w:tc>
      </w:tr>
    </w:tbl>
    <w:p>
      <w:pPr>
        <w:pStyle w:val="Heading2"/>
      </w:pPr>
      <w:r>
        <w:t>Τεκμηρίωση αριθμητικών παραδοχών / Numerical assumptions</w:t>
      </w:r>
    </w:p>
    <w:p>
      <w:r>
        <w:t>q.s. ad σημαίνει συμπλήρωση μέχρι τελική ποσότητα, όχι προσθήκη ολόκληρης της τελικής ποσότητας. / q.s. ad means make up to the final quantity, not add the entire final quantity.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Συντελεστής κλιμάκωσης k = στόχος / αναφορά / target / reference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Διόρθωση δραστικότητας P (κλάσμα), βάση προσδιορισμού / Potency correction P (fraction), assay basis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Μετατροπή βάσης/άλατος/ενυδάτωσης / Base/salt/hydrate conversion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[Πλήρης πράξη και πηγή / Full calculation and source]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Πυκνότητα, θερμοκρασία, αβεβαιότητα / Density, temperature, uncertainty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Υπερπλήρωση, απώλειες και αιτιολόγηση / Overage, process loss and rationale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Ανεξάρτητος έλεγχος υπολογισμών / Independent calculation check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[Υπογραφή, ημερομηνία / Signature, date]</w:t>
            </w:r>
          </w:p>
        </w:tc>
      </w:tr>
    </w:tbl>
    <w:p>
      <w:r>
        <w:t>Η διόρθωση δραστικότητας εφαρμόζεται μόνο αφού τεκμηριωθεί η βάση του προσδιορισμού. / Apply potency correction only after documenting the assay basis.</w:t>
      </w:r>
    </w:p>
    <w:p>
      <w:r>
        <w:br w:type="page"/>
      </w:r>
    </w:p>
    <w:p>
      <w:pPr>
        <w:pStyle w:val="Title"/>
      </w:pPr>
      <w:r>
        <w:t>3. Πρώτες ύλες και εκτίμηση κινδύνου</w:t>
      </w:r>
    </w:p>
    <w:p>
      <w:pPr>
        <w:pStyle w:val="Subtitle"/>
      </w:pPr>
      <w:r>
        <w:t>Raw materials and risk assessment</w:t>
      </w:r>
    </w:p>
    <w:p>
      <w:r>
        <w:t>Οι πραγματικοί αριθμοί παρτίδων και ζυγίσεις καταγράφονται στο φύλλο παρτίδας. Εδώ ορίζονται οι απαιτήσεις. / Actual lot numbers and weights belong in the batch record. Define requirements here.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Ταυτοποίηση, CoA, προμηθευτής και έγκριση / Identity, CoA, supplier and approval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Περιεκτικότητα, υγρασία, υπολειμματικοί διαλύτες / Assay, water, residual solvents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Μέγεθος σωματιδίων, ιξώδες, πολυμερές / Particle size, viscosity, polymer grade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Επώνυμες βάσεις: κωδικός, έκδοση, σύνθεση / Named vehicles: code, version, composition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Συμβατότητα συστατικών και περιέκτη / Ingredient and container compatibility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Επίδραση pH, φωτός, αέρα, νερού, υγρασίας, θερμότητας / Effects of pH, light, air, water, humidity, heat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Συντηρητικά: τελική συγκέντρωση και τεκμηρίωση / Preservatives: final concentration and evidence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Αλλεργιογόνα, αιθανόλη, PG, σορβιτόλη, βενζοϊκά / Allergens, ethanol, PG, sorbitol, benzoates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Πληθυσμός: ηλικία, βάρος, ειδικές ευαισθησίες / Population: age, weight, special sensitivities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SDS, έκθεση, ΜΑΠ και τεχνικά μέτρα / SDS, exposure, PPE and engineering controls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Εύφλεκτα, ισχυρά δραστικά, επικίνδυνες σκόνες / Flammables, potent actives, hazardous powders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Καθαρισμός, διασταυρούμενη επιμόλυνση, απόβλητα / Cleaning, cross-contamination, waste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pPr>
        <w:pStyle w:val="Heading2"/>
      </w:pPr>
      <w:r>
        <w:t>Απόφαση καταλληλότητας εγκατάστασης / Facility suitability decision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Κίνδυνος, πιθανότητα, σοβαρότητα, μέτρο ελέγχου / Hazard, likelihood, severity, control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Υπολειπόμενος κίνδυνος και αποδοχή / Residual risk and acceptance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r>
        <w:br w:type="page"/>
      </w:r>
    </w:p>
    <w:p>
      <w:pPr>
        <w:pStyle w:val="Title"/>
      </w:pPr>
      <w:r>
        <w:t>4. Εξοπλισμός και μέθοδος</w:t>
      </w:r>
    </w:p>
    <w:p>
      <w:pPr>
        <w:pStyle w:val="Subtitle"/>
      </w:pPr>
      <w:r>
        <w:t>Equipment and method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SOP και έκδοση / SOP and revision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Περιβάλλον: θερμοκρασία, υγρασία, καθαρότητα / Environment: temperature, humidity, cleanliness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Ζυγοί: ελάχιστη ζύγιση, ακρίβεια, διακρίβωση / Balances: minimum weight, accuracy, calibration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Ανάμιξη, ομογενοποίηση, κοσκίνιση, πλήρωση / Mixing, homogenisation, sieving, filling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[Συσκευή, όρια δυνατοτήτων / Device, capability limits]</w:t>
            </w:r>
          </w:p>
        </w:tc>
      </w:tr>
    </w:tbl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50"/>
        <w:gridCol w:w="4400"/>
        <w:gridCol w:w="2550"/>
        <w:gridCol w:w="2050"/>
      </w:tblGrid>
      <w:tr>
        <w:trPr>
          <w:tblHeader/>
          <w:cantSplit/>
        </w:trPr>
        <w:tc>
          <w:tcPr>
            <w:tcW w:type="dxa" w:w="650"/>
            <w:shd w:fill="E8EEF5"/>
          </w:tcPr>
          <w:p>
            <w:pPr>
              <w:pStyle w:val="Formtable"/>
            </w:pPr>
            <w:r>
              <w:rPr>
                <w:b/>
              </w:rPr>
              <w:t>Βήμα / Step</w:t>
            </w:r>
          </w:p>
        </w:tc>
        <w:tc>
          <w:tcPr>
            <w:tcW w:type="dxa" w:w="4400"/>
            <w:shd w:fill="E8EEF5"/>
          </w:tcPr>
          <w:p>
            <w:pPr>
              <w:pStyle w:val="Formtable"/>
            </w:pPr>
            <w:r>
              <w:rPr>
                <w:b/>
              </w:rPr>
              <w:t>Ενέργεια και σειρά προσθήκης / Action and addition order</w:t>
            </w:r>
          </w:p>
        </w:tc>
        <w:tc>
          <w:tcPr>
            <w:tcW w:type="dxa" w:w="2550"/>
            <w:shd w:fill="E8EEF5"/>
          </w:tcPr>
          <w:p>
            <w:pPr>
              <w:pStyle w:val="Formtable"/>
            </w:pPr>
            <w:r>
              <w:rPr>
                <w:b/>
              </w:rPr>
              <w:t>Παράμετροι / Parameters</w:t>
            </w:r>
          </w:p>
        </w:tc>
        <w:tc>
          <w:tcPr>
            <w:tcW w:type="dxa" w:w="2050"/>
            <w:shd w:fill="E8EEF5"/>
          </w:tcPr>
          <w:p>
            <w:pPr>
              <w:pStyle w:val="Formtable"/>
            </w:pPr>
            <w:r>
              <w:rPr>
                <w:b/>
              </w:rPr>
              <w:t>Ενδιάμεσο όριο / In-process limit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1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2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3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4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5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6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7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pStyle w:val="Formtable"/>
            </w:pPr>
            <w:r>
              <w:t>8</w:t>
            </w:r>
          </w:p>
        </w:tc>
        <w:tc>
          <w:tcPr>
            <w:tcW w:type="dxa" w:w="4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050"/>
          </w:tcPr>
          <w:p>
            <w:pPr>
              <w:pStyle w:val="Formtable"/>
            </w:pPr>
            <w:r>
              <w:t>[ ]</w:t>
            </w:r>
          </w:p>
        </w:tc>
      </w:tr>
    </w:tbl>
    <w:p>
      <w:pPr>
        <w:pStyle w:val="Heading2"/>
      </w:pPr>
      <w:r>
        <w:t>Κρίσιμα σημεία / Critical points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Χρόνος, θερμοκρασία, ταχύτητα, διάτμηση / Time, temperature, speed, shear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pH, σειρά διαβροχής, χρόνος ενυδάτωσης / pH, wetting order, hydration time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Συμπλήρωση μάζας/όγκου και θερμοκρασία μέτρησης / Final mass/volume adjustment and measurement temperature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Θεωρητική/αναμενόμενη απόδοση και αποδεκτές απώλειες / Theoretical/expected yield and acceptable losses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Κλίμακα για την οποία έχει ελεγχθεί η μέθοδος / Scale for which method was assessed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r>
        <w:br w:type="page"/>
      </w:r>
    </w:p>
    <w:p>
      <w:pPr>
        <w:pStyle w:val="Title"/>
      </w:pPr>
      <w:r>
        <w:t>5. Προδιαγραφές και ποιοτικός έλεγχος</w:t>
      </w:r>
    </w:p>
    <w:p>
      <w:pPr>
        <w:pStyle w:val="Subtitle"/>
      </w:pPr>
      <w:r>
        <w:t>Specifications and quality control</w:t>
      </w:r>
    </w:p>
    <w:p>
      <w:r>
        <w:t>Ορίστε τεκμηριωμένα κριτήρια. Μην εισάγετε καθολικά αριθμητικά όρια χωρίς αναφορά. Τα πραγματικά αποτελέσματα καταγράφονται ανά παρτίδα. / Set evidence-based criteria. Do not insert universal numerical limits without a reference. Record actual results by batch.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3400"/>
        <w:gridCol w:w="2550"/>
        <w:gridCol w:w="2200"/>
        <w:gridCol w:w="1500"/>
      </w:tblGrid>
      <w:tr>
        <w:trPr>
          <w:tblHeader/>
          <w:cantSplit/>
        </w:trPr>
        <w:tc>
          <w:tcPr>
            <w:tcW w:type="dxa" w:w="3400"/>
            <w:shd w:fill="E8EEF5"/>
          </w:tcPr>
          <w:p>
            <w:pPr>
              <w:pStyle w:val="Formtable"/>
            </w:pPr>
            <w:r>
              <w:rPr>
                <w:b/>
              </w:rPr>
              <w:t>Δοκιμή / Test</w:t>
            </w:r>
          </w:p>
        </w:tc>
        <w:tc>
          <w:tcPr>
            <w:tcW w:type="dxa" w:w="2550"/>
            <w:shd w:fill="E8EEF5"/>
          </w:tcPr>
          <w:p>
            <w:pPr>
              <w:pStyle w:val="Formtable"/>
            </w:pPr>
            <w:r>
              <w:rPr>
                <w:b/>
              </w:rPr>
              <w:t>Μέθοδος και πηγή / Method and source</w:t>
            </w:r>
          </w:p>
        </w:tc>
        <w:tc>
          <w:tcPr>
            <w:tcW w:type="dxa" w:w="2200"/>
            <w:shd w:fill="E8EEF5"/>
          </w:tcPr>
          <w:p>
            <w:pPr>
              <w:pStyle w:val="Formtable"/>
            </w:pPr>
            <w:r>
              <w:rPr>
                <w:b/>
              </w:rPr>
              <w:t>Όριο / Acceptance limit</w:t>
            </w:r>
          </w:p>
        </w:tc>
        <w:tc>
          <w:tcPr>
            <w:tcW w:type="dxa" w:w="1500"/>
            <w:shd w:fill="E8EEF5"/>
          </w:tcPr>
          <w:p>
            <w:pPr>
              <w:pStyle w:val="Formtable"/>
            </w:pPr>
            <w:r>
              <w:rPr>
                <w:b/>
              </w:rPr>
              <w:t>Συχνότητα / Frequency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Περιγραφή, χρώμα, οσμή / Description, colour, odour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Ταυτοποίηση / Identification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Περιεκτικότητα, προσμίξεις / Assay, impurities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Ομοιομορφία μάζας/περιεχομένου / Mass/content uniformity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pH, πυκνότητα, ιξώδες / pH, density, viscosity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Ομοιογένεια, αναδιασπορά / Homogeneity, redispersibility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Μέγεθος σωματιδίων, αποσάθρωση / Particle size, disintegration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Μικροβιακή ποιότητα / Microbial quality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400"/>
          </w:tcPr>
          <w:p>
            <w:pPr>
              <w:pStyle w:val="Formtable"/>
            </w:pPr>
            <w:r>
              <w:t>Συμβατότητα και ακεραιότητα συσκευασίας / Package compatibility and integrity</w:t>
            </w:r>
          </w:p>
        </w:tc>
        <w:tc>
          <w:tcPr>
            <w:tcW w:type="dxa" w:w="25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2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500"/>
          </w:tcPr>
          <w:p>
            <w:pPr>
              <w:pStyle w:val="Formtable"/>
            </w:pPr>
            <w:r>
              <w:t>[ ]</w:t>
            </w:r>
          </w:p>
        </w:tc>
      </w:tr>
    </w:tbl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Δειγματοληψία, ποσότητα δείγματος, δείγμα αναφοράς / Sampling, sample size, retained sample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Αναλυτικό εργαστήριο, πρότυπα, καταλληλότητα μεθόδου / Analytical laboratory, standards, method suitability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Χειρισμός OOS/OOT και αποκλίσεων / OOS/OOT and deviation handling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Κριτήρια αποδέσμευσης / Release criteria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r>
        <w:br w:type="page"/>
      </w:r>
    </w:p>
    <w:p>
      <w:pPr>
        <w:pStyle w:val="Title"/>
      </w:pPr>
      <w:r>
        <w:t>6. Σταθερότητα, BUD και συσκευασία</w:t>
      </w:r>
    </w:p>
    <w:p>
      <w:pPr>
        <w:pStyle w:val="Subtitle"/>
      </w:pPr>
      <w:r>
        <w:t>Stability, BUD and packaging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BUD που δηλώνει η πηγή / BUD stated by source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 / δεν αναφέρεται / not stated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Ακριβής σύνθεση και κλίμακα μελέτης / Exact studied formulation and scale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Περιέκτης, πώμα, δοσιμετρικό εξάρτημα / Container, closure, dosing device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[Υλικό, μέγεθος, προδιαγραφή / Material, size, specification]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Θερμοκρασία, φως, υγρασία, μεταφορά / Temperature, light, moisture, transport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Φυσική, χημική, μικροβιολογική σταθερότητα / Physical, chemical, microbial stability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[Παραπομπή και εύρος τεκμηρίωσης / Reference and evidence scope]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Συντηρητική αποτελεσματικότητα, όπου απαιτείται / Preservative efficacy where required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Όριο πριν/μετά το άνοιγμα / Unopened/in-use limit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Σταθερότητα ενδιάμεσων / Intermediate stability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Αποκλίσεις από τη μελέτη και επίδραση / Differences from study and implications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Τοπικό εγκεκριμένο BUD και αιτιολόγηση / Locally assigned BUD and rationale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Ημερομηνία/υπογραφή αξιολόγησης / Assessment date/signature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r>
        <w:t>Μετά το άνοιγμα δεν παρατείνεται η συνολική λήξη. Η αλλαγή συντηρητικού ή οχήματος δεν μεταφέρει αυτόματα το BUD. / Opening cannot extend overall expiry. Preservative or vehicle changes do not automatically carry over a BUD.</w:t>
      </w:r>
    </w:p>
    <w:p>
      <w:pPr>
        <w:pStyle w:val="Heading2"/>
      </w:pPr>
      <w:r>
        <w:t>Αποθήκευση και διάθεση / Storage and supply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Συνθήκες τελικού προϊόντος / Finished-product conditions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Διαχείριση αποκλίσεων θερμοκρασίας / Temperature excursion management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Οδηγίες παραλαβής, μεταφοράς και απόρριψης / Receipt, transport and disposal directions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r>
        <w:br w:type="page"/>
      </w:r>
    </w:p>
    <w:p>
      <w:pPr>
        <w:pStyle w:val="Title"/>
      </w:pPr>
      <w:r>
        <w:t>7. Κλινική χρήση και επισήμανση</w:t>
      </w:r>
    </w:p>
    <w:p>
      <w:pPr>
        <w:pStyle w:val="Subtitle"/>
      </w:pPr>
      <w:r>
        <w:t>Clinical use and labelling</w:t>
      </w:r>
    </w:p>
    <w:p>
      <w:r>
        <w:t>Η συνταγή παρασκευής δεν αποτελεί αυτοτελή οδηγία δοσολογίας. Η κλινική αξιολόγηση τεκμηριώνεται χωριστά με τρέχουσα αναφορά. / A manufacturing formula is not a standalone dosing instruction. Document clinical assessment separately using a current reference.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Ένδειξη και πληθυσμός / Indication and population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Συνταγογράφος και τεκμηρίωση χρήσης / Prescriber and supporting rationale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Δόση, μονάδα, συχνότητα, διάρκεια / Dose, unit, frequency, duration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Συσκευή μέτρησης και ακρίβεια μικρών δόσεων / Measuring device and small-dose accuracy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Αντενδείξεις, αλληλεπιδράσεις, παρακολούθηση / Contraindications, interactions, monitoring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Οδηγίες επαγγελματία και ασθενούς / Professional and patient directions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pPr>
        <w:pStyle w:val="Heading2"/>
      </w:pPr>
      <w:r>
        <w:t>Υπόδειγμα ετικέτας προς οριστικοποίηση / Label template to finalise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Όνομα και περιεκτικότητα, μονάδα βάσης / Name and strength, unit basis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Μορφή, οδός, καθαρή ποσότητα / Form, route, net quantity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Οδηγίες χορήγησης / Administration directions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Ασθενής/συνταγή όπου απαιτείται / Patient/prescription where required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Παρτίδα, παρασκευή, λήξη/BUD / Batch, preparation, expiry/BUD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Φύλαξη και μετά το άνοιγμα / Storage and after opening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Ανακίνηση ή άλλες ειδικές οδηγίες / Shaking or other special directions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Έκδοχα/προειδοποιήσεις και στοιχεία φαρμακείου / Excipients/warnings and pharmacy details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r>
        <w:br w:type="page"/>
      </w:r>
    </w:p>
    <w:p>
      <w:pPr>
        <w:pStyle w:val="Title"/>
      </w:pPr>
      <w:r>
        <w:t>8. Έγκριση, αλλαγές και ειδικές ενότητες</w:t>
      </w:r>
    </w:p>
    <w:p>
      <w:pPr>
        <w:pStyle w:val="Subtitle"/>
      </w:pPr>
      <w:r>
        <w:t>Approval, changes and special modules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3300"/>
        <w:gridCol w:w="2400"/>
        <w:gridCol w:w="1650"/>
        <w:gridCol w:w="2300"/>
      </w:tblGrid>
      <w:tr>
        <w:trPr>
          <w:tblHeader/>
          <w:cantSplit/>
        </w:trPr>
        <w:tc>
          <w:tcPr>
            <w:tcW w:type="dxa" w:w="3300"/>
            <w:shd w:fill="E8EEF5"/>
          </w:tcPr>
          <w:p>
            <w:pPr>
              <w:pStyle w:val="Formtable"/>
            </w:pPr>
            <w:r>
              <w:rPr>
                <w:b/>
              </w:rPr>
              <w:t>Ρόλος / Role</w:t>
            </w:r>
          </w:p>
        </w:tc>
        <w:tc>
          <w:tcPr>
            <w:tcW w:type="dxa" w:w="2400"/>
            <w:shd w:fill="E8EEF5"/>
          </w:tcPr>
          <w:p>
            <w:pPr>
              <w:pStyle w:val="Formtable"/>
            </w:pPr>
            <w:r>
              <w:rPr>
                <w:b/>
              </w:rPr>
              <w:t>Ονοματεπώνυμο / Name</w:t>
            </w:r>
          </w:p>
        </w:tc>
        <w:tc>
          <w:tcPr>
            <w:tcW w:type="dxa" w:w="1650"/>
            <w:shd w:fill="E8EEF5"/>
          </w:tcPr>
          <w:p>
            <w:pPr>
              <w:pStyle w:val="Formtable"/>
            </w:pPr>
            <w:r>
              <w:rPr>
                <w:b/>
              </w:rPr>
              <w:t>Ημερομηνία / Date</w:t>
            </w:r>
          </w:p>
        </w:tc>
        <w:tc>
          <w:tcPr>
            <w:tcW w:type="dxa" w:w="2300"/>
            <w:shd w:fill="E8EEF5"/>
          </w:tcPr>
          <w:p>
            <w:pPr>
              <w:pStyle w:val="Formtable"/>
            </w:pPr>
            <w:r>
              <w:rPr>
                <w:b/>
              </w:rPr>
              <w:t>Υπογραφή / Signature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pStyle w:val="Formtable"/>
            </w:pPr>
            <w:r>
              <w:t>Σύνταξη / Preparation</w:t>
            </w:r>
          </w:p>
        </w:tc>
        <w:tc>
          <w:tcPr>
            <w:tcW w:type="dxa" w:w="2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pStyle w:val="Formtable"/>
            </w:pPr>
            <w:r>
              <w:t>Ανεξάρτητος αριθμητικός έλεγχος / Independent numerical check</w:t>
            </w:r>
          </w:p>
        </w:tc>
        <w:tc>
          <w:tcPr>
            <w:tcW w:type="dxa" w:w="2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pStyle w:val="Formtable"/>
            </w:pPr>
            <w:r>
              <w:t>Επιστημονικός έλεγχος / Scientific review</w:t>
            </w:r>
          </w:p>
        </w:tc>
        <w:tc>
          <w:tcPr>
            <w:tcW w:type="dxa" w:w="2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0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pStyle w:val="Formtable"/>
            </w:pPr>
            <w:r>
              <w:t>Έγκριση master record / Master approval</w:t>
            </w:r>
          </w:p>
        </w:tc>
        <w:tc>
          <w:tcPr>
            <w:tcW w:type="dxa" w:w="240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1650"/>
          </w:tcPr>
          <w:p>
            <w:pPr>
              <w:pStyle w:val="Formtable"/>
            </w:pPr>
            <w:r>
              <w:t>[ ]</w:t>
            </w:r>
          </w:p>
        </w:tc>
        <w:tc>
          <w:tcPr>
            <w:tcW w:type="dxa" w:w="2300"/>
          </w:tcPr>
          <w:p>
            <w:pPr>
              <w:pStyle w:val="Formtable"/>
            </w:pPr>
            <w:r>
              <w:t>[ ]</w:t>
            </w:r>
          </w:p>
        </w:tc>
      </w:tr>
    </w:tbl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Ανοικτές αποκλίσεις και υπεύθυνος επίλυσης / Open deviations and resolution owner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Έγκριση ανάρτησης και δικαιώματα / Publication approval and rights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Κείμενο υπογραφής πρωτοβουλίας / Initiative attribution text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Ιστορικό: έκδοση, αλλαγή, αιτία, εγκρίνων / History: revision, change, reason, approver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</w:tbl>
    <w:p>
      <w:pPr>
        <w:pStyle w:val="Heading2"/>
      </w:pPr>
      <w:r>
        <w:t>Στείρες ή άλλες ειδικές παρασκευές / Sterile or other special preparations</w:t>
      </w:r>
    </w:p>
    <w:p>
      <w:r>
        <w:t>Ενεργοποιείται μόνο όταν εφαρμόζεται και συμπληρώνεται ως χωριστό παράρτημα. Η ύπαρξη πεδίου δεν δηλώνει επάρκεια της εγκατάστασης. / Activate only when applicable and complete as a separate annex. A field does not establish facility capability.</w:t>
      </w:r>
    </w:p>
    <w:tbl>
      <w:tblPr>
        <w:tblW w:type="dxa" w:w="9650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7E3E7"/>
          <w:left w:val="single" w:sz="4" w:color="D7E3E7"/>
          <w:bottom w:val="single" w:sz="4" w:color="D7E3E7"/>
          <w:right w:val="single" w:sz="4" w:color="D7E3E7"/>
          <w:insideH w:val="single" w:sz="4" w:color="D7E3E7"/>
          <w:insideV w:val="single" w:sz="4" w:color="D7E3E7"/>
        </w:tblBorders>
      </w:tblPr>
      <w:tblGrid>
        <w:gridCol w:w="6200"/>
        <w:gridCol w:w="3450"/>
      </w:tblGrid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Στειρότητα, οδός, κατηγορία, εφαρμοστέο πρότυπο / Sterility, route, category, applicable standard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 / μη εφαρμόσιμο / not applicable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Περιβάλλον, προσωπικό, άσηπτη τεχνική/αποστείρωση / Environment, personnel, aseptic process/sterilisation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Επικύρωση, φίλτρα, ενδοτοξίνες, σωματίδια / Validation, filters, endotoxins, particles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Ακεραιότητα περιέκτη και ειδικό BUD / Container integrity and specific BUD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</w:t>
            </w:r>
          </w:p>
        </w:tc>
      </w:tr>
      <w:tr>
        <w:trPr>
          <w:cantSplit/>
        </w:trPr>
        <w:tc>
          <w:tcPr>
            <w:tcW w:type="dxa" w:w="6200"/>
          </w:tcPr>
          <w:p>
            <w:pPr>
              <w:pStyle w:val="Formtable"/>
            </w:pPr>
            <w:r>
              <w:t>Ισχυρά δραστικά, ελεγχόμενα, ακτινοπροστασία / Potent actives, controlled substances, radiation protection</w:t>
            </w:r>
          </w:p>
        </w:tc>
        <w:tc>
          <w:tcPr>
            <w:tcW w:type="dxa" w:w="3450"/>
          </w:tcPr>
          <w:p>
            <w:pPr>
              <w:pStyle w:val="Formtable"/>
            </w:pPr>
            <w:r>
              <w:t>[ ] / μη εφαρμόσιμο / not applicable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rmtable"/>
    </w:pPr>
    <w:r>
      <w:t xml:space="preserve">Προσωπική πρωτοβουλία / Independent initiative • v1.0 • 2026-09-07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rmtable"/>
    </w:pPr>
    <w:r>
      <w:t>compounding.gr  |  MASTER FORMULA TEMPLATE  |  GR / 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DejaVu Sans" w:hAnsi="DejaVu Sans"/>
      <w:color w:val="18354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37B8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37B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835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20" w:line="30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8354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 w:line="300" w:lineRule="auto"/>
    </w:pPr>
    <w:rPr>
      <w:rFonts w:asciiTheme="majorHAnsi" w:eastAsiaTheme="majorEastAsia" w:hAnsiTheme="majorHAnsi" w:cstheme="majorBidi" w:ascii="DejaVu Sans" w:hAnsi="DejaVu Sans"/>
      <w:b w:val="0"/>
      <w:i/>
      <w:iCs/>
      <w:color w:val="137B8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able">
    <w:name w:val="Form table"/>
    <w:pPr>
      <w:spacing w:before="0" w:after="20" w:line="264" w:lineRule="auto"/>
    </w:pPr>
    <w:rPr>
      <w:rFonts w:ascii="DejaVu Sans" w:hAnsi="DejaVu Sans"/>
      <w:color w:val="18354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compounding.gr — Bilingual master formula template</dc:title>
  <dc:subject>Independent initiative — draft template</dc:subject>
  <dc:creator>compounding.gr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